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8EF" w:rsidRPr="00643E4B" w:rsidRDefault="006158BC" w:rsidP="00C46727">
      <w:pPr>
        <w:spacing w:line="360" w:lineRule="auto"/>
        <w:jc w:val="center"/>
        <w:rPr>
          <w:rFonts w:ascii="仿宋" w:eastAsia="仿宋" w:hAnsi="仿宋"/>
          <w:b/>
          <w:sz w:val="28"/>
          <w:szCs w:val="24"/>
        </w:rPr>
      </w:pPr>
      <w:r w:rsidRPr="00643E4B">
        <w:rPr>
          <w:rFonts w:ascii="仿宋" w:eastAsia="仿宋" w:hAnsi="仿宋" w:hint="eastAsia"/>
          <w:b/>
          <w:sz w:val="28"/>
          <w:szCs w:val="24"/>
        </w:rPr>
        <w:t>诺氟沙星</w:t>
      </w:r>
      <w:r w:rsidR="00F14C4F" w:rsidRPr="00643E4B">
        <w:rPr>
          <w:rFonts w:ascii="仿宋" w:eastAsia="仿宋" w:hAnsi="仿宋" w:hint="eastAsia"/>
          <w:b/>
          <w:sz w:val="28"/>
          <w:szCs w:val="24"/>
        </w:rPr>
        <w:t>胶囊</w:t>
      </w:r>
      <w:r w:rsidR="00D178EF" w:rsidRPr="00643E4B">
        <w:rPr>
          <w:rFonts w:ascii="仿宋" w:eastAsia="仿宋" w:hAnsi="仿宋" w:hint="eastAsia"/>
          <w:b/>
          <w:sz w:val="28"/>
          <w:szCs w:val="24"/>
        </w:rPr>
        <w:t>说明书</w:t>
      </w:r>
      <w:r w:rsidR="00C46727" w:rsidRPr="00643E4B">
        <w:rPr>
          <w:rFonts w:ascii="仿宋" w:eastAsia="仿宋" w:hAnsi="仿宋" w:hint="eastAsia"/>
          <w:b/>
          <w:sz w:val="28"/>
          <w:szCs w:val="24"/>
        </w:rPr>
        <w:t>修订详情</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
        <w:gridCol w:w="4534"/>
        <w:gridCol w:w="8223"/>
      </w:tblGrid>
      <w:tr w:rsidR="00C46727" w:rsidRPr="00643E4B" w:rsidTr="00C46727">
        <w:trPr>
          <w:trHeight w:val="357"/>
        </w:trPr>
        <w:tc>
          <w:tcPr>
            <w:tcW w:w="490" w:type="pct"/>
            <w:vAlign w:val="center"/>
          </w:tcPr>
          <w:p w:rsidR="00C46727" w:rsidRPr="00643E4B" w:rsidRDefault="00C46727" w:rsidP="00C46727">
            <w:pPr>
              <w:spacing w:line="240" w:lineRule="exact"/>
              <w:jc w:val="center"/>
              <w:rPr>
                <w:rFonts w:ascii="仿宋" w:eastAsia="仿宋" w:hAnsi="仿宋" w:cstheme="minorBidi"/>
                <w:b/>
                <w:szCs w:val="21"/>
              </w:rPr>
            </w:pPr>
            <w:r w:rsidRPr="00643E4B">
              <w:rPr>
                <w:rFonts w:ascii="仿宋" w:eastAsia="仿宋" w:hAnsi="仿宋" w:cstheme="minorBidi" w:hint="eastAsia"/>
                <w:b/>
                <w:szCs w:val="21"/>
              </w:rPr>
              <w:t>修订项目</w:t>
            </w:r>
          </w:p>
        </w:tc>
        <w:tc>
          <w:tcPr>
            <w:tcW w:w="1603" w:type="pct"/>
            <w:vAlign w:val="center"/>
          </w:tcPr>
          <w:p w:rsidR="00C46727" w:rsidRPr="00643E4B" w:rsidRDefault="00C46727" w:rsidP="00C46727">
            <w:pPr>
              <w:spacing w:line="240" w:lineRule="exact"/>
              <w:jc w:val="center"/>
              <w:rPr>
                <w:rFonts w:ascii="仿宋" w:eastAsia="仿宋" w:hAnsi="仿宋" w:cstheme="minorBidi"/>
                <w:b/>
                <w:szCs w:val="21"/>
              </w:rPr>
            </w:pPr>
            <w:r w:rsidRPr="00643E4B">
              <w:rPr>
                <w:rFonts w:ascii="仿宋" w:eastAsia="仿宋" w:hAnsi="仿宋" w:cstheme="minorBidi" w:hint="eastAsia"/>
                <w:b/>
                <w:szCs w:val="21"/>
              </w:rPr>
              <w:t>修订前说明书内容</w:t>
            </w:r>
          </w:p>
        </w:tc>
        <w:tc>
          <w:tcPr>
            <w:tcW w:w="2907" w:type="pct"/>
            <w:vAlign w:val="center"/>
          </w:tcPr>
          <w:p w:rsidR="00C46727" w:rsidRPr="00643E4B" w:rsidRDefault="00C46727" w:rsidP="00C46727">
            <w:pPr>
              <w:spacing w:line="240" w:lineRule="exact"/>
              <w:jc w:val="center"/>
              <w:rPr>
                <w:rFonts w:ascii="仿宋" w:eastAsia="仿宋" w:hAnsi="仿宋" w:cstheme="minorBidi"/>
                <w:b/>
                <w:szCs w:val="21"/>
              </w:rPr>
            </w:pPr>
            <w:r w:rsidRPr="00643E4B">
              <w:rPr>
                <w:rFonts w:ascii="仿宋" w:eastAsia="仿宋" w:hAnsi="仿宋" w:cstheme="minorBidi" w:hint="eastAsia"/>
                <w:b/>
                <w:szCs w:val="21"/>
              </w:rPr>
              <w:t>修订后说明书内容</w:t>
            </w:r>
          </w:p>
        </w:tc>
      </w:tr>
      <w:tr w:rsidR="00C46727" w:rsidRPr="00643E4B" w:rsidTr="00C46727">
        <w:trPr>
          <w:trHeight w:val="2403"/>
        </w:trPr>
        <w:tc>
          <w:tcPr>
            <w:tcW w:w="490" w:type="pct"/>
            <w:vAlign w:val="center"/>
          </w:tcPr>
          <w:p w:rsidR="00C46727" w:rsidRPr="00643E4B" w:rsidRDefault="00C46727" w:rsidP="00C46727">
            <w:pPr>
              <w:spacing w:line="240" w:lineRule="exact"/>
              <w:jc w:val="center"/>
              <w:rPr>
                <w:rFonts w:ascii="仿宋" w:eastAsia="仿宋" w:hAnsi="仿宋" w:cstheme="minorBidi"/>
                <w:szCs w:val="21"/>
              </w:rPr>
            </w:pPr>
            <w:r w:rsidRPr="00643E4B">
              <w:rPr>
                <w:rFonts w:ascii="仿宋" w:eastAsia="仿宋" w:hAnsi="仿宋" w:cstheme="minorBidi" w:hint="eastAsia"/>
                <w:szCs w:val="21"/>
              </w:rPr>
              <w:t>黑框警告</w:t>
            </w:r>
          </w:p>
        </w:tc>
        <w:tc>
          <w:tcPr>
            <w:tcW w:w="1603" w:type="pct"/>
            <w:vAlign w:val="center"/>
          </w:tcPr>
          <w:p w:rsidR="00C46727" w:rsidRPr="00643E4B" w:rsidRDefault="00C46727" w:rsidP="00C46727">
            <w:pPr>
              <w:spacing w:line="240" w:lineRule="exact"/>
              <w:jc w:val="center"/>
              <w:rPr>
                <w:rFonts w:ascii="仿宋" w:eastAsia="仿宋" w:hAnsi="仿宋" w:cstheme="minorBidi"/>
                <w:szCs w:val="21"/>
              </w:rPr>
            </w:pPr>
            <w:r w:rsidRPr="00643E4B">
              <w:rPr>
                <w:rFonts w:ascii="仿宋" w:eastAsia="仿宋" w:hAnsi="仿宋" w:cstheme="minorBidi" w:hint="eastAsia"/>
                <w:szCs w:val="21"/>
              </w:rPr>
              <w:t>无</w:t>
            </w:r>
          </w:p>
        </w:tc>
        <w:tc>
          <w:tcPr>
            <w:tcW w:w="2907"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警告：严重不良反应，包括肌腱炎和肌腱断裂，周围神经病变，中枢神经系统的影响和重症肌无力加剧。</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1.使用氟喹诺酮类药品（包括诺氟沙星胶囊），已有报告同时发生致残和潜在的不可逆转的严重不良反应，包括：肌腱炎和肌腱断裂、周</w:t>
            </w:r>
            <w:bookmarkStart w:id="0" w:name="_GoBack"/>
            <w:bookmarkEnd w:id="0"/>
            <w:r w:rsidRPr="00643E4B">
              <w:rPr>
                <w:rFonts w:ascii="仿宋" w:eastAsia="仿宋" w:hAnsi="仿宋" w:cstheme="minorBidi" w:hint="eastAsia"/>
                <w:szCs w:val="21"/>
              </w:rPr>
              <w:t>围神经病变、中枢神经系统的影响。当发生这些严重不良反应，应立即停用诺氟沙星胶囊并避免使用氟喹诺酮类药品。</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2.氟喹诺酮类药品可能会加剧重症肌无力患者的肌无力症状。已知有重症肌无力病史的患者应避免使用诺氟沙星胶囊。</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3.由于使用氟喹诺酮类药品（包括诺氟沙星胶囊）已有报道发生严重不良反应，对于属于单纯性尿路感染的患者，应在没有其他药品治疗时方可使用诺氟沙星胶囊。</w:t>
            </w:r>
          </w:p>
        </w:tc>
      </w:tr>
      <w:tr w:rsidR="00C46727" w:rsidRPr="00643E4B" w:rsidTr="00C46727">
        <w:trPr>
          <w:trHeight w:val="850"/>
        </w:trPr>
        <w:tc>
          <w:tcPr>
            <w:tcW w:w="490" w:type="pct"/>
            <w:vAlign w:val="center"/>
          </w:tcPr>
          <w:p w:rsidR="00C46727" w:rsidRPr="00643E4B" w:rsidRDefault="00C46727" w:rsidP="00C46727">
            <w:pPr>
              <w:spacing w:line="240" w:lineRule="exact"/>
              <w:jc w:val="center"/>
              <w:rPr>
                <w:rFonts w:ascii="仿宋" w:eastAsia="仿宋" w:hAnsi="仿宋" w:cstheme="minorBidi"/>
                <w:szCs w:val="21"/>
              </w:rPr>
            </w:pPr>
            <w:r w:rsidRPr="00643E4B">
              <w:rPr>
                <w:rFonts w:ascii="仿宋" w:eastAsia="仿宋" w:hAnsi="仿宋" w:cstheme="minorBidi" w:hint="eastAsia"/>
                <w:szCs w:val="21"/>
              </w:rPr>
              <w:t>【适应症】</w:t>
            </w:r>
          </w:p>
        </w:tc>
        <w:tc>
          <w:tcPr>
            <w:tcW w:w="1603"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适用于敏感菌所致的尿路感染、淋病、前列腺炎、肠道感染和伤寒及其他沙门菌感染。</w:t>
            </w:r>
          </w:p>
        </w:tc>
        <w:tc>
          <w:tcPr>
            <w:tcW w:w="2907"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适用于敏感菌所致的尿路感染、淋病、前列腺炎、肠道感染和伤寒及其他沙门菌感染。由于使用氟喹诺酮类药物（包括诺氟沙星胶囊）已有报道发生严重不良反应，且对于一些患者，单纯性尿路感染有自限性，应在没有其他药物治疗时方可使用诺氟沙星胶囊。</w:t>
            </w:r>
          </w:p>
        </w:tc>
      </w:tr>
      <w:tr w:rsidR="00C46727" w:rsidRPr="00643E4B" w:rsidTr="00C46727">
        <w:tc>
          <w:tcPr>
            <w:tcW w:w="490" w:type="pct"/>
            <w:vAlign w:val="center"/>
          </w:tcPr>
          <w:p w:rsidR="00C46727" w:rsidRPr="00643E4B" w:rsidRDefault="00C46727" w:rsidP="00C46727">
            <w:pPr>
              <w:spacing w:line="240" w:lineRule="exact"/>
              <w:jc w:val="center"/>
              <w:rPr>
                <w:rFonts w:ascii="仿宋" w:eastAsia="仿宋" w:hAnsi="仿宋" w:cstheme="minorBidi"/>
                <w:szCs w:val="21"/>
              </w:rPr>
            </w:pPr>
            <w:r w:rsidRPr="00643E4B">
              <w:rPr>
                <w:rFonts w:ascii="仿宋" w:eastAsia="仿宋" w:hAnsi="仿宋" w:cstheme="minorBidi" w:hint="eastAsia"/>
                <w:szCs w:val="21"/>
              </w:rPr>
              <w:t>【不良反应】</w:t>
            </w:r>
          </w:p>
        </w:tc>
        <w:tc>
          <w:tcPr>
            <w:tcW w:w="1603"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1.胃肠道反应 较为常见，可表现为腹部不适或疼痛、腹泻、恶心或呕吐。</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2.中枢神经系统反应 可有头昏、头痛、嗜睡或失眠。</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3.过敏反应 皮疹、皮肤瘙痒、偶可发生渗出性多性红斑及血管神经性水肿。少数患者有光敏反应。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4.偶可发生 （1）癫痫发作、精神异常、烦躁不安、意识障碍、幻觉、震颤。</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（2）血尿、发热、皮疹等间质性肾炎表现。</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（3）静脉炎。</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（4）结晶尿，多见于高剂量应用时。</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（5）关节疼痛。</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5.少数患者可发生血清氨基转移酶升高、血尿素氮增高及周围血象白细胞降低，多属轻度，并呈</w:t>
            </w:r>
            <w:r w:rsidRPr="00643E4B">
              <w:rPr>
                <w:rFonts w:ascii="仿宋" w:eastAsia="仿宋" w:hAnsi="仿宋" w:cstheme="minorBidi" w:hint="eastAsia"/>
                <w:szCs w:val="21"/>
              </w:rPr>
              <w:lastRenderedPageBreak/>
              <w:t>一过性。</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6.周围神经病变  症状如疼痛、灼烧感、刺痛感、麻木感、和/或虚弱或其他感觉方面的改变如轻触感、疼痛感、温度感觉、位置感觉和震动感觉等，应停药。</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7.血糖异常  糖尿病患者使用氟喹诺酮类药品可能出现血糖异常，表现为恶心、呕吐、心悸、出汗、面色苍白、饥饿感、肢体震颤、一过性晕厥等现象。</w:t>
            </w:r>
          </w:p>
        </w:tc>
        <w:tc>
          <w:tcPr>
            <w:tcW w:w="2907"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lastRenderedPageBreak/>
              <w:t>1.胃肠道反应 较为常见，可表现为腹部不适或疼痛、腹泻、恶心或呕吐。</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2.中枢神经系统反应 可有头昏、头痛、嗜睡或失眠。</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3. 光敏感性/光毒性不良反应、过敏反应  皮疹、皮肤瘙痒、偶可发生渗出性多性红斑及血管神经性水肿。少数患者有光敏反应。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4.偶可发生  （1）癫痫发作、精神异常、烦躁不安、意识障碍、幻觉、震颤。</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（2）血尿、发热、皮疹等间质性肾炎表现。</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（3）静脉炎。</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（4）结晶尿，多见于高剂量应用时。</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（5）关节疼痛。</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5.少数患者可发生血清氨基转移酶升高、血尿素氮增高及周围血象白细胞降低，多属轻度，并呈一过性。</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6.周围神经病变  症状如疼痛、灼烧感、刺痛感、麻木感、和/或虚弱或其他感觉方面的改变如轻触感、疼痛感、温度感觉、位置感觉和震动感觉等，应停药。</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7. 对血糖的干扰、血糖异常  糖尿病患者使用氟喹诺酮类药品可能出现血糖异常，表现为恶心、呕吐、心悸、出汗、面色苍白、饥饿 感、肢体震颤、一过性晕厥等现象。</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8.致残和潜在的不可逆转的严重不良反应，包括肌腱炎和肌腱断裂，周围神经病变，中</w:t>
            </w:r>
            <w:r w:rsidRPr="00643E4B">
              <w:rPr>
                <w:rFonts w:ascii="仿宋" w:eastAsia="仿宋" w:hAnsi="仿宋" w:cstheme="minorBidi" w:hint="eastAsia"/>
                <w:szCs w:val="21"/>
              </w:rPr>
              <w:lastRenderedPageBreak/>
              <w:t>枢神经系统的影响。其他严重并且有时致命的反应。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9.QT间期延长。</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10.艰难梭菌相关性腹泻。</w:t>
            </w:r>
          </w:p>
        </w:tc>
      </w:tr>
      <w:tr w:rsidR="00C46727" w:rsidRPr="00643E4B" w:rsidTr="00C46727">
        <w:trPr>
          <w:trHeight w:val="1128"/>
        </w:trPr>
        <w:tc>
          <w:tcPr>
            <w:tcW w:w="490" w:type="pct"/>
            <w:vAlign w:val="center"/>
          </w:tcPr>
          <w:p w:rsidR="00C46727" w:rsidRPr="00643E4B" w:rsidRDefault="00C46727" w:rsidP="00C46727">
            <w:pPr>
              <w:spacing w:line="240" w:lineRule="exact"/>
              <w:jc w:val="center"/>
              <w:rPr>
                <w:rFonts w:ascii="仿宋" w:eastAsia="仿宋" w:hAnsi="仿宋" w:cstheme="minorBidi"/>
                <w:szCs w:val="21"/>
              </w:rPr>
            </w:pPr>
            <w:r w:rsidRPr="00643E4B">
              <w:rPr>
                <w:rFonts w:ascii="仿宋" w:eastAsia="仿宋" w:hAnsi="仿宋" w:cstheme="minorBidi" w:hint="eastAsia"/>
                <w:szCs w:val="21"/>
              </w:rPr>
              <w:lastRenderedPageBreak/>
              <w:t>【注意事项】</w:t>
            </w:r>
          </w:p>
        </w:tc>
        <w:tc>
          <w:tcPr>
            <w:tcW w:w="1603"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1.本品宜空腹服用，并同时饮水250ml。</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2.由于目前大肠埃希菌对诺氟沙星耐药者多见，应在给药前留取尿标本培养，参考细菌药敏结果调整用药。</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3.本品大剂量应用或尿pH值在7以上时可发生结晶尿。为避免结晶尿的发生，宜多饮水，保持24小时排尿量在1200ml以上。</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4.肾功能减退者，需根据肾功能调整给药剂量。</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5.应用氟喹诺酮类药物可发生中、重度光敏反应。应用本品时应避免过度暴露于阳光，如发生光敏反应需停药。</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6.葡萄糖-6-磷酸脱氢酶缺乏患者服用本品，极个别可能发生溶血反应。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7.喹诺酮类包括本品可致重症肌无力症状加重，呼吸肌无力而危及生命。重症肌无力患者应用喹诺酮类包括本品应特别谨慎。</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8.肝功能减退时，如属重度（肝硬化腹水）可减少药物清除，血药浓度增高，肝、肾功能均减退者尤为明显，均需权衡利弊后应用，并调整剂量。</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9.原有中枢神经系统疾病患者，例如癫痫及癫痫病史者均应避免应用，有指征时需仔细权衡利弊后应用。</w:t>
            </w:r>
          </w:p>
        </w:tc>
        <w:tc>
          <w:tcPr>
            <w:tcW w:w="2907" w:type="pct"/>
            <w:vAlign w:val="center"/>
          </w:tcPr>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1.本品宜空腹服用，并同时饮水250ml。</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2.由于目前大肠埃希菌对诺氟沙星耐药者多见,应在给药前留取尿标本培养,参考细菌药敏结果调整用药。</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3.本品大剂量应用或尿pH值在7以上时可发生结晶尿。为避免结晶尿的发生，宜多饮水，保持24小时排尿量在1200ml以上。</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4.肾功能减退者，需根据肾功能调整给药剂量。</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5.葡萄糖-6-磷酸脱氢酶缺乏患者服用本品，极个别可能发生溶血反应。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6.肝功能减退时，如属重度(肝硬化腹水)可减少药物清除，血药浓度增高，肝、肾功能均减退者尤为明显，均需权衡利 弊后应用，并调整剂量。</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 xml:space="preserve"> 7.致残和潜在的不可逆转的严重不良反应，包括肌腱炎和肌腱断裂，周围神经病变，中枢神经系统的影响。</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使用氟喹诺酮类药品，已有报告在同一患者的身体不同器官系统同时发生致残和潜在的不可逆转的严重不良反应，通常包括：肌腱炎，肌腱断裂，关节痛，肌痛，周围神经病变和中枢神经系统反应（幻觉，焦虑，抑郁，失眠，严重头痛和错乱）。这些不良反应可发生在使用诺氟沙星胶囊后数小时至数周。任何年龄段的患者，之前没有相关风险因素，均有报告发生这些不良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8.肌腱病和肌腱断裂</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氟喹诺酮类药品，会使所有年龄段患者的肌腱炎和肌腱断裂的风险增加。这种不良反应最常发生在跟腱，跟腱断裂可能需要手术修复。也有报告在肩、手部、肱二头肌、拇指和其他肌腱点出现肌腱炎和肌腱断裂。肌腱炎和肌腱断裂可发生在开始使用诺氟沙星胶囊后数小时或数天，或结束治疗后几个月。肌腱炎和肌腱断裂可双侧发生。这种风险在60岁以上老年患者，服用皮质类固醇药品患者及肾脏、心脏或肺移植手术的患者中进一步增加。除了年龄和使用皮质类固醇的因素外，另可独立增加肌腱断裂风险的因素包括剧烈的体力活动，肾功能衰竭以及以前的肌腱疾病，如类风湿关节炎。肌腱炎和肌腱断裂也发生在没有上述风险因素的使用氟喹诺酮类药品的患者中。肌腱断裂可发生在治疗</w:t>
            </w:r>
            <w:r w:rsidRPr="00643E4B">
              <w:rPr>
                <w:rFonts w:ascii="仿宋" w:eastAsia="仿宋" w:hAnsi="仿宋" w:cstheme="minorBidi" w:hint="eastAsia"/>
                <w:szCs w:val="21"/>
              </w:rPr>
              <w:lastRenderedPageBreak/>
              <w:t>过程中或治疗结束后；也有报告在治疗结束数月后发生肌腱断裂。在患者发生肌腱疼痛、肿胀、炎症或断裂后，应停止使用本品。在出现肌腱炎或肌腱断裂的迹象后，应建议患者休息，并与医生联系，换用非喹诺酮类药品。有肌腱疾病病史或发生过肌腱炎和肌腱断裂的患者应避免使用氟喹诺酮类药品。</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9.重症肌无力加重</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氟喹诺酮类药品，有神经肌肉阻断活性，可能加剧重症肌无力患者的肌无力症状。上市后的严重不良事件，包括死亡和需要通气支持，以及重症肌无力患者与使用氟喹诺酮类药品相关。患有重症肌无力的患者应避免使用诺氟沙星胶囊。</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10. QT间期延长</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某些氟喹诺酮类药品可以使心电图的QT间期延长，少数患者可以出现心律失常。上市后监测期间自发报告接受氟喹诺酮类药品治疗的患者出现尖端扭转型室速的情况罕见。已知QT间期延长的患者、未纠正的低血钾患者及使用IA类（奎尼丁、普鲁卡因胺）和Ⅲ类（胺碘酮、索他洛尔）抗心律失常药品的患者应避免使用诺氟沙星胶囊。老年患者更容易受药品相关的QT间期的影响。</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11.过敏反应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用氟喹诺酮类药品，已报告发生严重的过敏反应。一些患者在第一次给药后即发生，有些反应可伴随有心血管系统衰竭、丧失意识、刺痛、咽或面部水肿、呼吸困难、荨麻疹、瘙痒等。严重的过敏反应需要肾上腺素紧急治疗。诺氟沙星胶囊应在第一次出现皮疹或其他任何过敏迹象时停止使用。必要时可进行输氧，静脉注射类固醇，气道管理，包括插管等措施。</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12.其他严重并且可能致命的反应</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使用氟喹诺酮类药品，已有出现其他严重并且可能致命的事件报告。这些事件中有些是由于过敏，有些则病因不明。这些事件可能是重度的，通常发生在多剂量给药后。临床表现可包括以下的一个或多个症状：发热、皮疹、严重的皮肤反应（例如，中毒性表皮坏死松解症，Stevens-Johnson综合征）；血管炎；关节痛；肌痛；血清病；过敏性肺炎；间质性肾炎；急性肾功能不全或肾衰竭；肝炎、黄疸、急性肝坏死或肝功能衰竭；贫血，包括溶血性贫血和再生障碍性贫血；血小板减少症，包括血栓性血小板减少性紫癜；白细胞减少症；粒细胞缺乏症；全血细胞减少症和/或其他血液学异常。应在第一次出现皮疹、黄疸或任何其他过敏表现时立即停药并且采取措施。</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13.中枢神经系统的影响</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使用氟喹诺酮类药品，包括诺氟沙星胶囊，已有报告会使中枢神经系统不良反应增加的风险，包括惊厥和颅内压增高（含假性脑瘤）以及中毒引起的精神病。使用氟喹诺酮类药品可能会导致中枢神经系统反应包括焦躁、激动、失眠、焦虑、噩梦、偏执狂、头晕、错乱、震颤、幻觉、抑郁和自杀想法或行为。这些反应可能发生在首次用药后。如果这</w:t>
            </w:r>
            <w:r w:rsidRPr="00643E4B">
              <w:rPr>
                <w:rFonts w:ascii="仿宋" w:eastAsia="仿宋" w:hAnsi="仿宋" w:cstheme="minorBidi" w:hint="eastAsia"/>
                <w:szCs w:val="21"/>
              </w:rPr>
              <w:lastRenderedPageBreak/>
              <w:t>些反应发生在患者使用诺氟沙星胶囊时，应停止给药并采取适当的措施。与所有的氟喹诺酮类药品一样，已知或怀疑有中枢神经系统疾病的患者（如严重的脑动脉硬化、癫痫）或存在其他风险因素的患者（如有发作倾向或发作阈值降低）应在获益超过风险时使用诺氟沙星胶囊。</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14.周围神经病变</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已有报告患者使用氟喹诺酮类药品，产生罕见的感觉或感觉运动性轴索神经病，影响小和/或大的轴索，致皮肤感觉异常、感觉迟钝、触物痛感和衰弱。对于某些患者，症状可能在诺氟沙星胶囊用药后很快发生并且可能是不可逆的。如果患者出现外周神经病变症状，包括疼痛、烧灼感、麻刺感、麻木和/或无力，或其他感觉，包括轻触觉、痛觉、温觉、位置觉和振动觉的变化，应立即停药。有周围神经病变病史的患者应避免使用氟喹诺酮类抗生素。</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15.艰难梭菌相关性腹泻</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几乎所有的抗菌药品均出现过艰难梭菌相关性腹泻（CDAD）的报告，包括诺氟沙星胶囊，严重程度从轻度腹泻至严重结肠炎。抗菌药品治疗使结肠的正常菌群改变，从而导致艰难梭菌过度生长。</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艰难梭菌产生的毒素A和B，是艰难梭菌相关性腹泻的原因。高毒性的梭菌引起的发病率和死亡率均升高，这些感染抗菌治疗无效，并可能需要结肠切除术。在接受抗生素治疗后，出现腹泻均应考虑CDAD的可能性。因为CDAD可能发生在使用抗菌药品治疗后两个月，因此仔细询问病史是必要的。</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如果怀疑或证实艰难梭菌相关性腹泻，可能需要停止目前使用的不针对艰难梭菌的抗生素。应适当补充液体和电解质，补充蛋白质，采用针对艰难梭菌的抗生素治疗，出现临床指征时应进行手术评价。</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16.对血糖的干扰</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曾有氟喹诺酮类抗生素引起血糖紊乱（如症状性高血糖和低血糖）的报道，这种情况多发生于同时口服降糖药（如优降糖/格列本脲）或使用胰岛素的糖尿病患者。因此对于此类患者，建议应密切监测其血糖变化情况。如果患者在接受诺氟沙星胶囊治疗时出现低血糖反应，应立即停药并采取适当的治疗措施。</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17.光敏感性/光毒性</w:t>
            </w:r>
          </w:p>
          <w:p w:rsidR="00C46727" w:rsidRPr="00643E4B" w:rsidRDefault="00C46727" w:rsidP="00C46727">
            <w:pPr>
              <w:spacing w:line="240" w:lineRule="exact"/>
              <w:jc w:val="left"/>
              <w:rPr>
                <w:rFonts w:ascii="仿宋" w:eastAsia="仿宋" w:hAnsi="仿宋" w:cstheme="minorBidi"/>
                <w:szCs w:val="21"/>
              </w:rPr>
            </w:pPr>
            <w:r w:rsidRPr="00643E4B">
              <w:rPr>
                <w:rFonts w:ascii="仿宋" w:eastAsia="仿宋" w:hAnsi="仿宋" w:cstheme="minorBidi" w:hint="eastAsia"/>
                <w:szCs w:val="21"/>
              </w:rPr>
              <w:t>在使用氟喹诺酮类抗生素后暴露于阳光或紫外线照射下，会发生中度至严重的光敏性/光毒性反应，后者可能表现过度的晒伤反应（例如烧灼感、红斑、水泡、渗出、水肿），常出现在暴露于光的部位（通常是颈部的“V”型区域、前臂伸肌表面、手的背部）。因此，应该避免过度暴露于光源下。发生光毒性反应时应停药。</w:t>
            </w:r>
          </w:p>
        </w:tc>
      </w:tr>
    </w:tbl>
    <w:p w:rsidR="00D178EF" w:rsidRPr="00643E4B" w:rsidRDefault="00D178EF" w:rsidP="0074642E">
      <w:pPr>
        <w:jc w:val="left"/>
        <w:rPr>
          <w:rFonts w:ascii="仿宋" w:eastAsia="仿宋" w:hAnsi="仿宋"/>
        </w:rPr>
      </w:pPr>
    </w:p>
    <w:sectPr w:rsidR="00D178EF" w:rsidRPr="00643E4B" w:rsidSect="0080776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827" w:rsidRDefault="009D5827" w:rsidP="003501B0">
      <w:r>
        <w:separator/>
      </w:r>
    </w:p>
  </w:endnote>
  <w:endnote w:type="continuationSeparator" w:id="0">
    <w:p w:rsidR="009D5827" w:rsidRDefault="009D5827" w:rsidP="0035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827" w:rsidRDefault="009D5827" w:rsidP="003501B0">
      <w:r>
        <w:separator/>
      </w:r>
    </w:p>
  </w:footnote>
  <w:footnote w:type="continuationSeparator" w:id="0">
    <w:p w:rsidR="009D5827" w:rsidRDefault="009D5827" w:rsidP="00350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0000001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3B84AB6"/>
    <w:multiLevelType w:val="hybridMultilevel"/>
    <w:tmpl w:val="27A41952"/>
    <w:lvl w:ilvl="0" w:tplc="EE6E7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10735"/>
    <w:multiLevelType w:val="multilevel"/>
    <w:tmpl w:val="051107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EF438C6"/>
    <w:multiLevelType w:val="hybridMultilevel"/>
    <w:tmpl w:val="124E9D62"/>
    <w:lvl w:ilvl="0" w:tplc="2062D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FF133F"/>
    <w:multiLevelType w:val="hybridMultilevel"/>
    <w:tmpl w:val="054C94D4"/>
    <w:lvl w:ilvl="0" w:tplc="EEE8DDD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B64506"/>
    <w:multiLevelType w:val="hybridMultilevel"/>
    <w:tmpl w:val="275EAB7E"/>
    <w:lvl w:ilvl="0" w:tplc="046C11E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2A"/>
    <w:rsid w:val="00045661"/>
    <w:rsid w:val="0019582A"/>
    <w:rsid w:val="00215159"/>
    <w:rsid w:val="00221C63"/>
    <w:rsid w:val="00334400"/>
    <w:rsid w:val="003501B0"/>
    <w:rsid w:val="003A2E8F"/>
    <w:rsid w:val="003B555E"/>
    <w:rsid w:val="00431327"/>
    <w:rsid w:val="004E530F"/>
    <w:rsid w:val="00591E33"/>
    <w:rsid w:val="005A79BB"/>
    <w:rsid w:val="006158BC"/>
    <w:rsid w:val="00643E4B"/>
    <w:rsid w:val="006B54CE"/>
    <w:rsid w:val="006D3744"/>
    <w:rsid w:val="006D7A2A"/>
    <w:rsid w:val="0074642E"/>
    <w:rsid w:val="0079141F"/>
    <w:rsid w:val="0080776D"/>
    <w:rsid w:val="00840D08"/>
    <w:rsid w:val="00893F75"/>
    <w:rsid w:val="008A721D"/>
    <w:rsid w:val="008B31D7"/>
    <w:rsid w:val="0092242B"/>
    <w:rsid w:val="0092449B"/>
    <w:rsid w:val="009D5827"/>
    <w:rsid w:val="00A23961"/>
    <w:rsid w:val="00A32E89"/>
    <w:rsid w:val="00A66E2F"/>
    <w:rsid w:val="00AC37E6"/>
    <w:rsid w:val="00AF54E5"/>
    <w:rsid w:val="00B72093"/>
    <w:rsid w:val="00B821CE"/>
    <w:rsid w:val="00BA5712"/>
    <w:rsid w:val="00BD190A"/>
    <w:rsid w:val="00C46727"/>
    <w:rsid w:val="00CB01BF"/>
    <w:rsid w:val="00CE0015"/>
    <w:rsid w:val="00D178EF"/>
    <w:rsid w:val="00D86483"/>
    <w:rsid w:val="00E2438F"/>
    <w:rsid w:val="00EE09F6"/>
    <w:rsid w:val="00F14C4F"/>
    <w:rsid w:val="00F85CBB"/>
    <w:rsid w:val="00F90A47"/>
    <w:rsid w:val="00F9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BCFD49-BBCC-4A24-A7E9-A658D4A3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4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7A2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0776D"/>
    <w:pPr>
      <w:widowControl/>
      <w:ind w:firstLineChars="200" w:firstLine="420"/>
      <w:jc w:val="left"/>
    </w:pPr>
    <w:rPr>
      <w:rFonts w:ascii="宋体" w:hAnsi="宋体" w:cs="宋体"/>
      <w:kern w:val="0"/>
      <w:sz w:val="24"/>
      <w:szCs w:val="24"/>
    </w:rPr>
  </w:style>
  <w:style w:type="paragraph" w:styleId="a4">
    <w:name w:val="Normal Indent"/>
    <w:basedOn w:val="a"/>
    <w:uiPriority w:val="99"/>
    <w:rsid w:val="0080776D"/>
    <w:pPr>
      <w:ind w:firstLine="420"/>
    </w:pPr>
    <w:rPr>
      <w:rFonts w:ascii="Times New Roman" w:hAnsi="Times New Roman"/>
      <w:szCs w:val="24"/>
    </w:rPr>
  </w:style>
  <w:style w:type="paragraph" w:styleId="a5">
    <w:name w:val="header"/>
    <w:basedOn w:val="a"/>
    <w:link w:val="Char"/>
    <w:uiPriority w:val="99"/>
    <w:rsid w:val="00350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3501B0"/>
    <w:rPr>
      <w:rFonts w:cs="Times New Roman"/>
      <w:sz w:val="18"/>
      <w:szCs w:val="18"/>
    </w:rPr>
  </w:style>
  <w:style w:type="paragraph" w:styleId="a6">
    <w:name w:val="footer"/>
    <w:basedOn w:val="a"/>
    <w:link w:val="Char0"/>
    <w:uiPriority w:val="99"/>
    <w:rsid w:val="003501B0"/>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3501B0"/>
    <w:rPr>
      <w:rFonts w:cs="Times New Roman"/>
      <w:sz w:val="18"/>
      <w:szCs w:val="18"/>
    </w:rPr>
  </w:style>
  <w:style w:type="paragraph" w:styleId="a7">
    <w:name w:val="List Paragraph"/>
    <w:basedOn w:val="a"/>
    <w:uiPriority w:val="34"/>
    <w:qFormat/>
    <w:rsid w:val="00B72093"/>
    <w:pPr>
      <w:ind w:firstLineChars="200" w:firstLine="420"/>
    </w:pPr>
  </w:style>
  <w:style w:type="paragraph" w:styleId="a8">
    <w:name w:val="Balloon Text"/>
    <w:basedOn w:val="a"/>
    <w:link w:val="Char1"/>
    <w:uiPriority w:val="99"/>
    <w:semiHidden/>
    <w:unhideWhenUsed/>
    <w:rsid w:val="003A2E8F"/>
    <w:rPr>
      <w:sz w:val="18"/>
      <w:szCs w:val="18"/>
    </w:rPr>
  </w:style>
  <w:style w:type="character" w:customStyle="1" w:styleId="Char1">
    <w:name w:val="批注框文本 Char"/>
    <w:basedOn w:val="a0"/>
    <w:link w:val="a8"/>
    <w:uiPriority w:val="99"/>
    <w:semiHidden/>
    <w:rsid w:val="003A2E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705</Words>
  <Characters>4022</Characters>
  <Application>Microsoft Office Word</Application>
  <DocSecurity>0</DocSecurity>
  <Lines>33</Lines>
  <Paragraphs>9</Paragraphs>
  <ScaleCrop>false</ScaleCrop>
  <Company>WwW.YlmF.CoM</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10</cp:revision>
  <cp:lastPrinted>2017-08-15T02:06:00Z</cp:lastPrinted>
  <dcterms:created xsi:type="dcterms:W3CDTF">2017-08-15T02:02:00Z</dcterms:created>
  <dcterms:modified xsi:type="dcterms:W3CDTF">2020-04-23T02:11:00Z</dcterms:modified>
</cp:coreProperties>
</file>