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DB5CC7" w:rsidRDefault="00DA0C61" w:rsidP="002C122F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r w:rsidRPr="00DB5CC7">
        <w:rPr>
          <w:rFonts w:ascii="仿宋" w:eastAsia="仿宋" w:hAnsi="仿宋" w:cs="Times New Roman" w:hint="eastAsia"/>
          <w:b/>
          <w:sz w:val="28"/>
        </w:rPr>
        <w:t>安乃近片</w:t>
      </w:r>
      <w:r w:rsidR="002C122F" w:rsidRPr="00DB5CC7">
        <w:rPr>
          <w:rFonts w:ascii="仿宋" w:eastAsia="仿宋" w:hAnsi="仿宋" w:cs="Times New Roman" w:hint="eastAsia"/>
          <w:b/>
          <w:sz w:val="28"/>
        </w:rPr>
        <w:t>说明书修订</w:t>
      </w:r>
      <w:r w:rsidR="00690171" w:rsidRPr="00DB5CC7">
        <w:rPr>
          <w:rFonts w:ascii="仿宋" w:eastAsia="仿宋" w:hAnsi="仿宋" w:cs="Times New Roman" w:hint="eastAsia"/>
          <w:b/>
          <w:sz w:val="28"/>
        </w:rPr>
        <w:t>详情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9"/>
        <w:gridCol w:w="2977"/>
        <w:gridCol w:w="3998"/>
      </w:tblGrid>
      <w:tr w:rsidR="002C122F" w:rsidRPr="00DB5CC7" w:rsidTr="00CA4A5E">
        <w:trPr>
          <w:trHeight w:val="495"/>
          <w:jc w:val="center"/>
        </w:trPr>
        <w:tc>
          <w:tcPr>
            <w:tcW w:w="1389" w:type="dxa"/>
            <w:vAlign w:val="center"/>
          </w:tcPr>
          <w:p w:rsidR="002C122F" w:rsidRPr="00DB5CC7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B5CC7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2977" w:type="dxa"/>
            <w:vAlign w:val="center"/>
          </w:tcPr>
          <w:p w:rsidR="002C122F" w:rsidRPr="00DB5CC7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B5CC7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3998" w:type="dxa"/>
            <w:vAlign w:val="center"/>
          </w:tcPr>
          <w:p w:rsidR="002C122F" w:rsidRPr="00DB5CC7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B5CC7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FB13C5" w:rsidRPr="00DB5CC7" w:rsidTr="00CA4A5E">
        <w:trPr>
          <w:jc w:val="center"/>
        </w:trPr>
        <w:tc>
          <w:tcPr>
            <w:tcW w:w="1389" w:type="dxa"/>
            <w:vAlign w:val="center"/>
          </w:tcPr>
          <w:p w:rsidR="00FB13C5" w:rsidRPr="00DB5CC7" w:rsidRDefault="00FB13C5" w:rsidP="00FB13C5">
            <w:pPr>
              <w:jc w:val="center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【警示语】</w:t>
            </w:r>
          </w:p>
        </w:tc>
        <w:tc>
          <w:tcPr>
            <w:tcW w:w="2977" w:type="dxa"/>
            <w:vAlign w:val="center"/>
          </w:tcPr>
          <w:p w:rsidR="00FB13C5" w:rsidRPr="00DB5CC7" w:rsidRDefault="00FB13C5" w:rsidP="00897197">
            <w:pPr>
              <w:jc w:val="center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3998" w:type="dxa"/>
            <w:vAlign w:val="center"/>
          </w:tcPr>
          <w:p w:rsidR="00FB13C5" w:rsidRPr="00DB5CC7" w:rsidRDefault="00FB13C5" w:rsidP="00FB13C5">
            <w:pPr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本品可能引起血液系统严重不良反应，如粒细胞缺乏症、血小板减少性紫癜、再生障碍性贫血等。本品还可能引起严重过敏反应，如重症药疹、过敏性休克等。请在医师的指导下使用本品，了解用药风险。</w:t>
            </w:r>
          </w:p>
        </w:tc>
      </w:tr>
      <w:tr w:rsidR="00FB13C5" w:rsidRPr="00DB5CC7" w:rsidTr="00CA4A5E">
        <w:trPr>
          <w:jc w:val="center"/>
        </w:trPr>
        <w:tc>
          <w:tcPr>
            <w:tcW w:w="1389" w:type="dxa"/>
            <w:vAlign w:val="center"/>
          </w:tcPr>
          <w:p w:rsidR="00FB13C5" w:rsidRPr="00DB5CC7" w:rsidRDefault="00FB13C5" w:rsidP="00FB13C5">
            <w:pPr>
              <w:jc w:val="center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【适应症】</w:t>
            </w:r>
          </w:p>
        </w:tc>
        <w:tc>
          <w:tcPr>
            <w:tcW w:w="2977" w:type="dxa"/>
            <w:vAlign w:val="center"/>
          </w:tcPr>
          <w:p w:rsidR="00FB13C5" w:rsidRPr="00DB5CC7" w:rsidRDefault="00FB13C5" w:rsidP="00FB13C5">
            <w:pPr>
              <w:jc w:val="left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用于高热时的解热，也可用于头痛、偏头痛、肌肉痛、关节痛、痛经等。本品亦有较强的抗风湿作用，可用于急性风湿性关节炎，但因本品有可能引起严重的不良反应，很少在风湿性疾病中应用。</w:t>
            </w:r>
          </w:p>
        </w:tc>
        <w:tc>
          <w:tcPr>
            <w:tcW w:w="3998" w:type="dxa"/>
            <w:vAlign w:val="center"/>
          </w:tcPr>
          <w:p w:rsidR="00FB13C5" w:rsidRPr="00DB5CC7" w:rsidRDefault="00FB13C5" w:rsidP="002B3270">
            <w:pPr>
              <w:jc w:val="left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/>
              </w:rPr>
              <w:t>用于急性高热时的</w:t>
            </w:r>
            <w:bookmarkStart w:id="0" w:name="_GoBack"/>
            <w:bookmarkEnd w:id="0"/>
            <w:r w:rsidRPr="00DB5CC7">
              <w:rPr>
                <w:rFonts w:ascii="仿宋" w:eastAsia="仿宋" w:hAnsi="仿宋"/>
              </w:rPr>
              <w:t>退热，也可用于急性疼痛的短期治疗，如头痛、偏头痛、肌肉痛、关节痛、痛经等。</w:t>
            </w:r>
          </w:p>
        </w:tc>
      </w:tr>
      <w:tr w:rsidR="00FB13C5" w:rsidRPr="00DB5CC7" w:rsidTr="00CA4A5E">
        <w:trPr>
          <w:jc w:val="center"/>
        </w:trPr>
        <w:tc>
          <w:tcPr>
            <w:tcW w:w="1389" w:type="dxa"/>
            <w:vAlign w:val="center"/>
          </w:tcPr>
          <w:p w:rsidR="00FB13C5" w:rsidRPr="00DB5CC7" w:rsidRDefault="00FB13C5" w:rsidP="00FB13C5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【用法用量】</w:t>
            </w:r>
          </w:p>
        </w:tc>
        <w:tc>
          <w:tcPr>
            <w:tcW w:w="2977" w:type="dxa"/>
            <w:vAlign w:val="center"/>
          </w:tcPr>
          <w:p w:rsidR="00FB13C5" w:rsidRPr="00DB5CC7" w:rsidRDefault="00FB13C5" w:rsidP="002B3270">
            <w:pPr>
              <w:jc w:val="left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口服。成人常用量：一次0</w:t>
            </w:r>
            <w:r w:rsidRPr="00DB5CC7">
              <w:rPr>
                <w:rFonts w:ascii="仿宋" w:eastAsia="仿宋" w:hAnsi="仿宋"/>
              </w:rPr>
              <w:t>.5</w:t>
            </w:r>
            <w:r w:rsidRPr="00DB5CC7">
              <w:rPr>
                <w:rFonts w:ascii="仿宋" w:eastAsia="仿宋" w:hAnsi="仿宋" w:hint="eastAsia"/>
              </w:rPr>
              <w:t>～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B5CC7">
                <w:rPr>
                  <w:rFonts w:ascii="仿宋" w:eastAsia="仿宋" w:hAnsi="仿宋"/>
                </w:rPr>
                <w:t>1g</w:t>
              </w:r>
            </w:smartTag>
            <w:r w:rsidRPr="00DB5CC7">
              <w:rPr>
                <w:rFonts w:ascii="仿宋" w:eastAsia="仿宋" w:hAnsi="仿宋" w:hint="eastAsia"/>
              </w:rPr>
              <w:t>，需要时服1次，最多一日3次。小儿：按体重一次10～20mg/</w:t>
            </w:r>
            <w:r w:rsidRPr="00DB5CC7">
              <w:rPr>
                <w:rFonts w:ascii="仿宋" w:eastAsia="仿宋" w:hAnsi="仿宋"/>
              </w:rPr>
              <w:t>kg</w:t>
            </w:r>
            <w:r w:rsidRPr="00DB5CC7">
              <w:rPr>
                <w:rFonts w:ascii="仿宋" w:eastAsia="仿宋" w:hAnsi="仿宋" w:hint="eastAsia"/>
              </w:rPr>
              <w:t>，一日2～3次。</w:t>
            </w:r>
          </w:p>
        </w:tc>
        <w:tc>
          <w:tcPr>
            <w:tcW w:w="3998" w:type="dxa"/>
            <w:vAlign w:val="center"/>
          </w:tcPr>
          <w:p w:rsidR="00FB13C5" w:rsidRPr="00DB5CC7" w:rsidRDefault="00FB13C5" w:rsidP="002B3270">
            <w:pPr>
              <w:jc w:val="left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口服。成人常用量：一次0</w:t>
            </w:r>
            <w:r w:rsidRPr="00DB5CC7">
              <w:rPr>
                <w:rFonts w:ascii="仿宋" w:eastAsia="仿宋" w:hAnsi="仿宋"/>
              </w:rPr>
              <w:t>.5</w:t>
            </w:r>
            <w:r w:rsidRPr="00DB5CC7">
              <w:rPr>
                <w:rFonts w:ascii="仿宋" w:eastAsia="仿宋" w:hAnsi="仿宋" w:hint="eastAsia"/>
              </w:rPr>
              <w:t>～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B5CC7">
                <w:rPr>
                  <w:rFonts w:ascii="仿宋" w:eastAsia="仿宋" w:hAnsi="仿宋"/>
                </w:rPr>
                <w:t>1g</w:t>
              </w:r>
            </w:smartTag>
            <w:r w:rsidRPr="00DB5CC7">
              <w:rPr>
                <w:rFonts w:ascii="仿宋" w:eastAsia="仿宋" w:hAnsi="仿宋" w:hint="eastAsia"/>
              </w:rPr>
              <w:t>，需要时服1次，最多一日3次，</w:t>
            </w:r>
            <w:r w:rsidRPr="00DB5CC7">
              <w:rPr>
                <w:rFonts w:ascii="仿宋" w:eastAsia="仿宋" w:hAnsi="仿宋"/>
              </w:rPr>
              <w:t>应从最低有效剂量开始使用</w:t>
            </w:r>
            <w:r w:rsidRPr="00DB5CC7">
              <w:rPr>
                <w:rFonts w:ascii="仿宋" w:eastAsia="仿宋" w:hAnsi="仿宋" w:hint="eastAsia"/>
              </w:rPr>
              <w:t>。</w:t>
            </w:r>
          </w:p>
        </w:tc>
      </w:tr>
      <w:tr w:rsidR="00D70259" w:rsidRPr="00DB5CC7" w:rsidTr="00CA4A5E">
        <w:trPr>
          <w:jc w:val="center"/>
        </w:trPr>
        <w:tc>
          <w:tcPr>
            <w:tcW w:w="1389" w:type="dxa"/>
            <w:vAlign w:val="center"/>
          </w:tcPr>
          <w:p w:rsidR="00D70259" w:rsidRPr="00DB5CC7" w:rsidRDefault="00D70259" w:rsidP="00D7025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DB5CC7">
              <w:rPr>
                <w:rFonts w:ascii="仿宋" w:eastAsia="仿宋" w:hAnsi="仿宋" w:hint="eastAsia"/>
              </w:rPr>
              <w:t>【不良反应】</w:t>
            </w:r>
          </w:p>
        </w:tc>
        <w:tc>
          <w:tcPr>
            <w:tcW w:w="2977" w:type="dxa"/>
            <w:vAlign w:val="center"/>
          </w:tcPr>
          <w:p w:rsidR="00D70259" w:rsidRPr="00DB5CC7" w:rsidRDefault="00D70259" w:rsidP="00D70259">
            <w:pPr>
              <w:ind w:firstLineChars="200" w:firstLine="420"/>
              <w:jc w:val="left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本品对胃肠道的刺激虽较小，但可引起以下各种不良反应：①血液方面，可引起粒细胞缺乏症，发生率约1.1%，急性起病，重者有致命危险，亦可引起自身免疫性溶血性贫血、血小板减少性紫癜、再生障碍性贫血等；②皮肤方面，可引起荨麻疹、渗出性红斑等过敏性表现，严重者可发生剥脱性皮炎、表皮松解症等；③个别病例可发生过敏性休克，甚至导致死亡。</w:t>
            </w:r>
          </w:p>
          <w:p w:rsidR="00D70259" w:rsidRPr="00DB5CC7" w:rsidRDefault="00D70259" w:rsidP="00D70259">
            <w:pPr>
              <w:ind w:firstLineChars="200"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998" w:type="dxa"/>
            <w:vAlign w:val="center"/>
          </w:tcPr>
          <w:p w:rsidR="00D70259" w:rsidRPr="00DB5CC7" w:rsidRDefault="00D70259" w:rsidP="00DC7D72">
            <w:pPr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/>
              </w:rPr>
              <w:t>1.皮肤损害：本品皮疹报道较多，如红斑疹、斑丘疹、荨麻疹、渗出性红斑、多型性红斑、水疱疹、剥脱性皮炎、皮肤溃疡坏死、急性泛发型发疹性脓疱疹、男性生殖器皮疹和瘙痒等，有重症多型性红斑、大疱性表皮松解型药疹、中毒性表皮坏死松解症的报道。</w:t>
            </w:r>
          </w:p>
          <w:p w:rsidR="00D70259" w:rsidRPr="00DB5CC7" w:rsidRDefault="00D70259" w:rsidP="00DC7D72">
            <w:pPr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/>
              </w:rPr>
              <w:t>2.胃肠损害：本品可引起恶心、呕吐、胃部不适、胃痛、胃部烧灼感、胃肠胀气、腹部不适、腹痛、胃肠道出血、消化性溃疡出血等，有出血性坏死性肠炎的报道。</w:t>
            </w:r>
          </w:p>
          <w:p w:rsidR="00D70259" w:rsidRPr="00DB5CC7" w:rsidRDefault="00D70259" w:rsidP="00DC7D72">
            <w:pPr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/>
              </w:rPr>
              <w:t>3.全身性损害：本品可引起眼睑、眶周、口唇、面部、生殖器等部位水肿，还可引起胸闷、憋气、呼吸困难、心悸、哮喘发作、急性喉水肿、血压下降，严重者出现过敏性休克，甚至导致死亡。</w:t>
            </w:r>
          </w:p>
          <w:p w:rsidR="00D70259" w:rsidRPr="00DB5CC7" w:rsidRDefault="00D70259" w:rsidP="00DC7D72">
            <w:pPr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/>
              </w:rPr>
              <w:t>4.血液系统损害：本品可引起白细胞减少、粒细胞减少、血小板减少、粒细胞缺乏症、再生障碍性贫血、急性溶血性贫血、自身免疫性溶血性贫血、血小板减少性紫癜、鼻衄、过敏性紫癜等，有引起暴发性紫癜并导致死亡的报道。</w:t>
            </w:r>
          </w:p>
          <w:p w:rsidR="00D70259" w:rsidRPr="00DB5CC7" w:rsidRDefault="00D70259" w:rsidP="00DC7D72">
            <w:pPr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/>
              </w:rPr>
              <w:t>5.泌尿系统损害：本品可引起血尿、肾功</w:t>
            </w:r>
            <w:r w:rsidRPr="00DB5CC7">
              <w:rPr>
                <w:rFonts w:ascii="仿宋" w:eastAsia="仿宋" w:hAnsi="仿宋"/>
              </w:rPr>
              <w:lastRenderedPageBreak/>
              <w:t>能异常，有急性肾功能衰竭的报道。</w:t>
            </w:r>
          </w:p>
          <w:p w:rsidR="00D70259" w:rsidRPr="00DB5CC7" w:rsidRDefault="00D70259" w:rsidP="00DC7D72">
            <w:pPr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/>
              </w:rPr>
              <w:t>6.其他：可出现头晕、头痛、局部麻木等神经系统症状，有肝细胞损害、肝酶升高的报道，退热时可出现大汗和虚脱。</w:t>
            </w:r>
          </w:p>
        </w:tc>
      </w:tr>
      <w:tr w:rsidR="00DC7D72" w:rsidRPr="00DB5CC7" w:rsidTr="00CA4A5E">
        <w:trPr>
          <w:trHeight w:val="1204"/>
          <w:jc w:val="center"/>
        </w:trPr>
        <w:tc>
          <w:tcPr>
            <w:tcW w:w="1389" w:type="dxa"/>
            <w:vAlign w:val="center"/>
          </w:tcPr>
          <w:p w:rsidR="00DC7D72" w:rsidRPr="00DB5CC7" w:rsidRDefault="00DC7D72" w:rsidP="00DC7D72">
            <w:pPr>
              <w:jc w:val="center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lastRenderedPageBreak/>
              <w:t>【禁忌】</w:t>
            </w:r>
          </w:p>
        </w:tc>
        <w:tc>
          <w:tcPr>
            <w:tcW w:w="2977" w:type="dxa"/>
            <w:vAlign w:val="center"/>
          </w:tcPr>
          <w:p w:rsidR="00DC7D72" w:rsidRPr="00DB5CC7" w:rsidRDefault="00DC7D72" w:rsidP="002B3270">
            <w:pPr>
              <w:snapToGrid w:val="0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对本品或氨基比林有过敏史者禁用。</w:t>
            </w:r>
          </w:p>
        </w:tc>
        <w:tc>
          <w:tcPr>
            <w:tcW w:w="3998" w:type="dxa"/>
            <w:vAlign w:val="center"/>
          </w:tcPr>
          <w:p w:rsidR="00DC7D72" w:rsidRPr="00DB5CC7" w:rsidRDefault="00DC7D72" w:rsidP="00DC7D72">
            <w:pPr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/>
              </w:rPr>
              <w:t>1.妊娠晚期妇女禁用。</w:t>
            </w:r>
          </w:p>
          <w:p w:rsidR="00DC7D72" w:rsidRPr="00DB5CC7" w:rsidRDefault="00DC7D72" w:rsidP="00DC7D72">
            <w:pPr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/>
              </w:rPr>
              <w:t>2.18岁以下青少年儿童禁用。</w:t>
            </w:r>
          </w:p>
          <w:p w:rsidR="00DC7D72" w:rsidRPr="00DB5CC7" w:rsidRDefault="00DC7D72" w:rsidP="00DC7D72">
            <w:pPr>
              <w:snapToGrid w:val="0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3.对本品或氨基比林有过敏史者禁用。</w:t>
            </w:r>
          </w:p>
        </w:tc>
      </w:tr>
      <w:tr w:rsidR="002B3270" w:rsidRPr="00DB5CC7" w:rsidTr="00CA4A5E">
        <w:trPr>
          <w:trHeight w:val="5540"/>
          <w:jc w:val="center"/>
        </w:trPr>
        <w:tc>
          <w:tcPr>
            <w:tcW w:w="1389" w:type="dxa"/>
            <w:vAlign w:val="center"/>
          </w:tcPr>
          <w:p w:rsidR="002B3270" w:rsidRPr="00DB5CC7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【注意事项】</w:t>
            </w:r>
          </w:p>
        </w:tc>
        <w:tc>
          <w:tcPr>
            <w:tcW w:w="2977" w:type="dxa"/>
            <w:vAlign w:val="center"/>
          </w:tcPr>
          <w:p w:rsidR="002B3270" w:rsidRPr="00DB5CC7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（1）本品与阿司匹林有交叉过敏反应。</w:t>
            </w:r>
          </w:p>
          <w:p w:rsidR="002B3270" w:rsidRPr="00DB5CC7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（2）本品一般不作首选用药，仅在急性高热、病情急重，又无其他有效解热药可用的情况下用于紧急退热。</w:t>
            </w:r>
          </w:p>
          <w:p w:rsidR="002B3270" w:rsidRPr="00DB5CC7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（3）本品用药超过1周时应定期检查血象，一旦发生粒细胞减少，应立即停药。</w:t>
            </w:r>
          </w:p>
          <w:p w:rsidR="002B3270" w:rsidRPr="00DB5CC7" w:rsidRDefault="002B3270" w:rsidP="002B3270">
            <w:pPr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3998" w:type="dxa"/>
            <w:vAlign w:val="center"/>
          </w:tcPr>
          <w:p w:rsidR="002B3270" w:rsidRPr="00DB5CC7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/>
              </w:rPr>
              <w:t>1.本品一般不作为首选用药，仅在病情急重，且无其他有效药品治疗的情况下短期使用。</w:t>
            </w:r>
          </w:p>
          <w:p w:rsidR="002B3270" w:rsidRPr="00DB5CC7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/>
              </w:rPr>
              <w:t>2.本品引起的皮肤损害多见，严重者需要住院治疗。使用本品如果出现皮疹、瘙痒等反应，应立即停药，严重者应立即就诊。</w:t>
            </w:r>
          </w:p>
          <w:p w:rsidR="002B3270" w:rsidRPr="00DB5CC7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/>
              </w:rPr>
              <w:t xml:space="preserve">3.本品有引起过敏性休克风险。患者可出现胸闷、面部潮红、皮疹、呼吸困难、口唇发绀、大汗淋漓、血压降低、意识模糊、意识丧失等症状，甚至导致死亡。 </w:t>
            </w:r>
          </w:p>
          <w:p w:rsidR="002B3270" w:rsidRPr="00DB5CC7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/>
              </w:rPr>
              <w:t>4.本品可引起粒细胞缺乏症。该症起病急，可导致严重感染甚至死亡。患者表现为突发高热、极度乏力、周身不适，2～3天内可能发生严重感染，如肺部、泌尿系统、口咽部和皮肤感染等。出现上述症状须立即就诊并检查血象。</w:t>
            </w:r>
          </w:p>
          <w:p w:rsidR="002B3270" w:rsidRPr="00DB5CC7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5.本品与阿司匹林有交叉过敏反应。</w:t>
            </w:r>
          </w:p>
          <w:p w:rsidR="002B3270" w:rsidRPr="00DB5CC7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6.本品用药超过1周时应定期检查血象，一旦发生粒细胞减少，应立即停药。</w:t>
            </w:r>
          </w:p>
        </w:tc>
      </w:tr>
      <w:tr w:rsidR="00CA4A5E" w:rsidRPr="00DB5CC7" w:rsidTr="00CA4A5E">
        <w:trPr>
          <w:trHeight w:val="1489"/>
          <w:jc w:val="center"/>
        </w:trPr>
        <w:tc>
          <w:tcPr>
            <w:tcW w:w="1389" w:type="dxa"/>
            <w:vAlign w:val="center"/>
          </w:tcPr>
          <w:p w:rsidR="00CA4A5E" w:rsidRPr="00DB5CC7" w:rsidRDefault="00CA4A5E" w:rsidP="00CA4A5E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【孕妇及哺乳期妇女用药】</w:t>
            </w:r>
          </w:p>
        </w:tc>
        <w:tc>
          <w:tcPr>
            <w:tcW w:w="2977" w:type="dxa"/>
            <w:vAlign w:val="center"/>
          </w:tcPr>
          <w:p w:rsidR="00CA4A5E" w:rsidRPr="00DB5CC7" w:rsidRDefault="00CA4A5E" w:rsidP="00CA4A5E">
            <w:pPr>
              <w:snapToGrid w:val="0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安乃近的代谢产物可进入乳汁。孕妇及哺乳期妇女不宜应用。</w:t>
            </w:r>
          </w:p>
        </w:tc>
        <w:tc>
          <w:tcPr>
            <w:tcW w:w="3998" w:type="dxa"/>
            <w:vAlign w:val="center"/>
          </w:tcPr>
          <w:p w:rsidR="00CA4A5E" w:rsidRPr="00DB5CC7" w:rsidRDefault="00CA4A5E" w:rsidP="00CA4A5E">
            <w:pPr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/>
              </w:rPr>
              <w:t>1.妊娠早期和中期妇女不建议使用，妊娠晚期妇女禁用。</w:t>
            </w:r>
          </w:p>
          <w:p w:rsidR="00CA4A5E" w:rsidRPr="00DB5CC7" w:rsidRDefault="00CA4A5E" w:rsidP="00CA4A5E">
            <w:pPr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/>
              </w:rPr>
              <w:t>2.安乃近的代谢产物可进入乳汁，哺乳期妇女不宜应用。</w:t>
            </w:r>
          </w:p>
        </w:tc>
      </w:tr>
      <w:tr w:rsidR="00CA4A5E" w:rsidRPr="00DB5CC7" w:rsidTr="00CA4A5E">
        <w:trPr>
          <w:trHeight w:val="844"/>
          <w:jc w:val="center"/>
        </w:trPr>
        <w:tc>
          <w:tcPr>
            <w:tcW w:w="1389" w:type="dxa"/>
            <w:vAlign w:val="center"/>
          </w:tcPr>
          <w:p w:rsidR="00CA4A5E" w:rsidRPr="00DB5CC7" w:rsidRDefault="00CA4A5E" w:rsidP="00CA4A5E">
            <w:pPr>
              <w:snapToGrid w:val="0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【儿童用药】</w:t>
            </w:r>
          </w:p>
        </w:tc>
        <w:tc>
          <w:tcPr>
            <w:tcW w:w="2977" w:type="dxa"/>
            <w:vAlign w:val="center"/>
          </w:tcPr>
          <w:p w:rsidR="00CA4A5E" w:rsidRPr="00DB5CC7" w:rsidRDefault="00CA4A5E" w:rsidP="00897197">
            <w:pPr>
              <w:snapToGrid w:val="0"/>
              <w:jc w:val="center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3998" w:type="dxa"/>
            <w:vAlign w:val="center"/>
          </w:tcPr>
          <w:p w:rsidR="00CA4A5E" w:rsidRPr="00DB5CC7" w:rsidRDefault="00CA4A5E" w:rsidP="00E57232">
            <w:pPr>
              <w:snapToGrid w:val="0"/>
              <w:jc w:val="center"/>
              <w:rPr>
                <w:rFonts w:ascii="仿宋" w:eastAsia="仿宋" w:hAnsi="仿宋"/>
              </w:rPr>
            </w:pPr>
            <w:r w:rsidRPr="00DB5CC7">
              <w:rPr>
                <w:rFonts w:ascii="仿宋" w:eastAsia="仿宋" w:hAnsi="仿宋"/>
              </w:rPr>
              <w:t>本品禁用于18岁以下青少年儿童。</w:t>
            </w:r>
          </w:p>
        </w:tc>
      </w:tr>
    </w:tbl>
    <w:p w:rsidR="003B5E9F" w:rsidRPr="00DB5CC7" w:rsidRDefault="003B5E9F" w:rsidP="00724086">
      <w:pPr>
        <w:jc w:val="left"/>
        <w:rPr>
          <w:rFonts w:ascii="仿宋" w:eastAsia="仿宋" w:hAnsi="仿宋"/>
        </w:rPr>
      </w:pPr>
    </w:p>
    <w:sectPr w:rsidR="003B5E9F" w:rsidRPr="00DB5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023373"/>
    <w:rsid w:val="00080761"/>
    <w:rsid w:val="002B3270"/>
    <w:rsid w:val="002C122F"/>
    <w:rsid w:val="00367086"/>
    <w:rsid w:val="003B5E9F"/>
    <w:rsid w:val="004E04AD"/>
    <w:rsid w:val="00502021"/>
    <w:rsid w:val="005846FD"/>
    <w:rsid w:val="005A45E9"/>
    <w:rsid w:val="005B0B43"/>
    <w:rsid w:val="00690171"/>
    <w:rsid w:val="006C13F2"/>
    <w:rsid w:val="007171A1"/>
    <w:rsid w:val="00724086"/>
    <w:rsid w:val="00897197"/>
    <w:rsid w:val="009340A5"/>
    <w:rsid w:val="00A04806"/>
    <w:rsid w:val="00B64834"/>
    <w:rsid w:val="00CA4A5E"/>
    <w:rsid w:val="00D34087"/>
    <w:rsid w:val="00D70259"/>
    <w:rsid w:val="00DA0C61"/>
    <w:rsid w:val="00DB5CC7"/>
    <w:rsid w:val="00DC7D72"/>
    <w:rsid w:val="00E57232"/>
    <w:rsid w:val="00F06884"/>
    <w:rsid w:val="00F954C5"/>
    <w:rsid w:val="00FB13C5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2020-03-23T05:04:00Z</cp:lastPrinted>
  <dcterms:created xsi:type="dcterms:W3CDTF">2020-04-09T05:20:00Z</dcterms:created>
  <dcterms:modified xsi:type="dcterms:W3CDTF">2020-04-23T05:39:00Z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